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83A7" w14:textId="77777777" w:rsidR="003242D0" w:rsidRDefault="00017E0E" w:rsidP="003242D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66E9B">
        <w:rPr>
          <w:rFonts w:ascii="Arial" w:hAnsi="Arial" w:cs="Arial"/>
          <w:b/>
          <w:bCs/>
          <w:sz w:val="32"/>
          <w:szCs w:val="32"/>
        </w:rPr>
        <w:t xml:space="preserve">Grupo Financiero CAFSA otorgará créditos </w:t>
      </w:r>
    </w:p>
    <w:p w14:paraId="01BE2CDE" w14:textId="12E9B75F" w:rsidR="00017E0E" w:rsidRDefault="00017E0E" w:rsidP="003242D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66E9B">
        <w:rPr>
          <w:rFonts w:ascii="Arial" w:hAnsi="Arial" w:cs="Arial"/>
          <w:b/>
          <w:bCs/>
          <w:sz w:val="32"/>
          <w:szCs w:val="32"/>
        </w:rPr>
        <w:t xml:space="preserve">para adquirir vehículos </w:t>
      </w:r>
      <w:r w:rsidR="00693FB4">
        <w:rPr>
          <w:rFonts w:ascii="Arial" w:hAnsi="Arial" w:cs="Arial"/>
          <w:b/>
          <w:bCs/>
          <w:sz w:val="32"/>
          <w:szCs w:val="32"/>
        </w:rPr>
        <w:t>sostenibles</w:t>
      </w:r>
    </w:p>
    <w:p w14:paraId="0E692138" w14:textId="77777777" w:rsidR="003242D0" w:rsidRPr="00666E9B" w:rsidRDefault="003242D0" w:rsidP="003242D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8C67AD1" w14:textId="0F7A0930" w:rsidR="00E432C0" w:rsidRPr="00666E9B" w:rsidRDefault="003F571C" w:rsidP="00666E9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Los r</w:t>
      </w:r>
      <w:r w:rsidR="00666E9B">
        <w:rPr>
          <w:rFonts w:ascii="Arial" w:hAnsi="Arial" w:cs="Arial"/>
          <w:sz w:val="16"/>
          <w:szCs w:val="16"/>
        </w:rPr>
        <w:t>ecursos</w:t>
      </w:r>
      <w:r w:rsidR="00017E0E" w:rsidRPr="00666E9B">
        <w:rPr>
          <w:rFonts w:ascii="Arial" w:hAnsi="Arial" w:cs="Arial"/>
          <w:sz w:val="16"/>
          <w:szCs w:val="16"/>
        </w:rPr>
        <w:t xml:space="preserve"> se obt</w:t>
      </w:r>
      <w:r>
        <w:rPr>
          <w:rFonts w:ascii="Arial" w:hAnsi="Arial" w:cs="Arial"/>
          <w:sz w:val="16"/>
          <w:szCs w:val="16"/>
        </w:rPr>
        <w:t xml:space="preserve">uvieron a través del programa Fondos Verdes del </w:t>
      </w:r>
      <w:r w:rsidR="00017E0E" w:rsidRPr="00666E9B">
        <w:rPr>
          <w:rFonts w:ascii="Arial" w:hAnsi="Arial" w:cs="Arial"/>
          <w:sz w:val="16"/>
          <w:szCs w:val="16"/>
        </w:rPr>
        <w:t>B</w:t>
      </w:r>
      <w:r w:rsidR="00666E9B">
        <w:rPr>
          <w:rFonts w:ascii="Arial" w:hAnsi="Arial" w:cs="Arial"/>
          <w:sz w:val="16"/>
          <w:szCs w:val="16"/>
        </w:rPr>
        <w:t xml:space="preserve">anco </w:t>
      </w:r>
      <w:r w:rsidR="00017E0E" w:rsidRPr="00666E9B">
        <w:rPr>
          <w:rFonts w:ascii="Arial" w:hAnsi="Arial" w:cs="Arial"/>
          <w:sz w:val="16"/>
          <w:szCs w:val="16"/>
        </w:rPr>
        <w:t>C</w:t>
      </w:r>
      <w:r w:rsidR="00666E9B">
        <w:rPr>
          <w:rFonts w:ascii="Arial" w:hAnsi="Arial" w:cs="Arial"/>
          <w:sz w:val="16"/>
          <w:szCs w:val="16"/>
        </w:rPr>
        <w:t xml:space="preserve">entroamericano de </w:t>
      </w:r>
      <w:r w:rsidR="00017E0E" w:rsidRPr="00666E9B">
        <w:rPr>
          <w:rFonts w:ascii="Arial" w:hAnsi="Arial" w:cs="Arial"/>
          <w:sz w:val="16"/>
          <w:szCs w:val="16"/>
        </w:rPr>
        <w:t>I</w:t>
      </w:r>
      <w:r w:rsidR="00666E9B">
        <w:rPr>
          <w:rFonts w:ascii="Arial" w:hAnsi="Arial" w:cs="Arial"/>
          <w:sz w:val="16"/>
          <w:szCs w:val="16"/>
        </w:rPr>
        <w:t xml:space="preserve">ntegración </w:t>
      </w:r>
      <w:r w:rsidR="00017E0E" w:rsidRPr="00666E9B">
        <w:rPr>
          <w:rFonts w:ascii="Arial" w:hAnsi="Arial" w:cs="Arial"/>
          <w:sz w:val="16"/>
          <w:szCs w:val="16"/>
        </w:rPr>
        <w:t>E</w:t>
      </w:r>
      <w:r w:rsidR="00666E9B">
        <w:rPr>
          <w:rFonts w:ascii="Arial" w:hAnsi="Arial" w:cs="Arial"/>
          <w:sz w:val="16"/>
          <w:szCs w:val="16"/>
        </w:rPr>
        <w:t>conómica</w:t>
      </w:r>
      <w:r w:rsidR="003242D0">
        <w:rPr>
          <w:rFonts w:ascii="Arial" w:hAnsi="Arial" w:cs="Arial"/>
          <w:sz w:val="16"/>
          <w:szCs w:val="16"/>
        </w:rPr>
        <w:t xml:space="preserve"> (BCIE)</w:t>
      </w:r>
      <w:r>
        <w:rPr>
          <w:rFonts w:ascii="Arial" w:hAnsi="Arial" w:cs="Arial"/>
          <w:sz w:val="16"/>
          <w:szCs w:val="16"/>
        </w:rPr>
        <w:t>.</w:t>
      </w:r>
      <w:r w:rsidR="00017E0E" w:rsidRPr="00666E9B">
        <w:rPr>
          <w:rFonts w:ascii="Arial" w:hAnsi="Arial" w:cs="Arial"/>
          <w:sz w:val="16"/>
          <w:szCs w:val="16"/>
        </w:rPr>
        <w:t xml:space="preserve"> </w:t>
      </w:r>
    </w:p>
    <w:p w14:paraId="0BDD75D6" w14:textId="1037CE01" w:rsidR="00017E0E" w:rsidRPr="00666E9B" w:rsidRDefault="00017E0E" w:rsidP="00666E9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666E9B">
        <w:rPr>
          <w:rFonts w:ascii="Arial" w:hAnsi="Arial" w:cs="Arial"/>
          <w:sz w:val="16"/>
          <w:szCs w:val="16"/>
        </w:rPr>
        <w:t xml:space="preserve">Los créditos </w:t>
      </w:r>
      <w:r w:rsidR="00666E9B">
        <w:rPr>
          <w:rFonts w:ascii="Arial" w:hAnsi="Arial" w:cs="Arial"/>
          <w:sz w:val="16"/>
          <w:szCs w:val="16"/>
        </w:rPr>
        <w:t>ofrecerán una tasa fija del 6,95% durante todo el plazo</w:t>
      </w:r>
      <w:r w:rsidR="001169D7">
        <w:rPr>
          <w:rFonts w:ascii="Arial" w:hAnsi="Arial" w:cs="Arial"/>
          <w:sz w:val="16"/>
          <w:szCs w:val="16"/>
        </w:rPr>
        <w:t xml:space="preserve"> y </w:t>
      </w:r>
      <w:r w:rsidR="003F571C">
        <w:rPr>
          <w:rFonts w:ascii="Arial" w:hAnsi="Arial" w:cs="Arial"/>
          <w:sz w:val="16"/>
          <w:szCs w:val="16"/>
        </w:rPr>
        <w:t>el</w:t>
      </w:r>
      <w:r w:rsidR="001169D7">
        <w:rPr>
          <w:rFonts w:ascii="Arial" w:hAnsi="Arial" w:cs="Arial"/>
          <w:sz w:val="16"/>
          <w:szCs w:val="16"/>
        </w:rPr>
        <w:t xml:space="preserve"> proceso de aprobación será </w:t>
      </w:r>
      <w:r w:rsidR="003F571C">
        <w:rPr>
          <w:rFonts w:ascii="Arial" w:hAnsi="Arial" w:cs="Arial"/>
          <w:sz w:val="16"/>
          <w:szCs w:val="16"/>
        </w:rPr>
        <w:t xml:space="preserve">de manera 100% automatizada. </w:t>
      </w:r>
      <w:r w:rsidR="00666E9B">
        <w:rPr>
          <w:rFonts w:ascii="Arial" w:hAnsi="Arial" w:cs="Arial"/>
          <w:sz w:val="16"/>
          <w:szCs w:val="16"/>
        </w:rPr>
        <w:t xml:space="preserve"> </w:t>
      </w:r>
      <w:r w:rsidRPr="00666E9B">
        <w:rPr>
          <w:rFonts w:ascii="Arial" w:hAnsi="Arial" w:cs="Arial"/>
          <w:sz w:val="16"/>
          <w:szCs w:val="16"/>
        </w:rPr>
        <w:t xml:space="preserve"> </w:t>
      </w:r>
    </w:p>
    <w:p w14:paraId="655F3973" w14:textId="6FDD30A5" w:rsidR="00017E0E" w:rsidRPr="00666E9B" w:rsidRDefault="006471BE" w:rsidP="00666E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27</w:t>
      </w:r>
      <w:r w:rsidR="00017E0E" w:rsidRPr="00666E9B">
        <w:rPr>
          <w:rFonts w:ascii="Arial" w:hAnsi="Arial" w:cs="Arial"/>
          <w:b/>
          <w:bCs/>
        </w:rPr>
        <w:t xml:space="preserve"> de octubre 2021</w:t>
      </w:r>
      <w:r w:rsidR="00017E0E" w:rsidRPr="00666E9B">
        <w:rPr>
          <w:rFonts w:ascii="Arial" w:hAnsi="Arial" w:cs="Arial"/>
        </w:rPr>
        <w:t xml:space="preserve">. </w:t>
      </w:r>
      <w:r w:rsidR="00693FB4">
        <w:rPr>
          <w:rFonts w:ascii="Arial" w:hAnsi="Arial" w:cs="Arial"/>
        </w:rPr>
        <w:t>C</w:t>
      </w:r>
      <w:r w:rsidR="00017E0E" w:rsidRPr="00666E9B">
        <w:rPr>
          <w:rFonts w:ascii="Arial" w:hAnsi="Arial" w:cs="Arial"/>
        </w:rPr>
        <w:t xml:space="preserve">on el objetivo de aportar </w:t>
      </w:r>
      <w:r w:rsidR="00693FB4">
        <w:rPr>
          <w:rFonts w:ascii="Arial" w:hAnsi="Arial" w:cs="Arial"/>
        </w:rPr>
        <w:t xml:space="preserve">a </w:t>
      </w:r>
      <w:r w:rsidR="00017E0E" w:rsidRPr="00666E9B">
        <w:rPr>
          <w:rFonts w:ascii="Arial" w:hAnsi="Arial" w:cs="Arial"/>
        </w:rPr>
        <w:t>la estrategia de descarbonización</w:t>
      </w:r>
      <w:r w:rsidR="00693FB4">
        <w:rPr>
          <w:rFonts w:ascii="Arial" w:hAnsi="Arial" w:cs="Arial"/>
        </w:rPr>
        <w:t xml:space="preserve"> y metas nacionales para que Costa Rica sea uno de los primero</w:t>
      </w:r>
      <w:r w:rsidR="00C954CB">
        <w:rPr>
          <w:rFonts w:ascii="Arial" w:hAnsi="Arial" w:cs="Arial"/>
        </w:rPr>
        <w:t>s</w:t>
      </w:r>
      <w:r w:rsidR="00693FB4">
        <w:rPr>
          <w:rFonts w:ascii="Arial" w:hAnsi="Arial" w:cs="Arial"/>
        </w:rPr>
        <w:t xml:space="preserve"> países del mundo con emisiones neutrales de carbono</w:t>
      </w:r>
      <w:r w:rsidR="00017E0E" w:rsidRPr="00666E9B">
        <w:rPr>
          <w:rFonts w:ascii="Arial" w:hAnsi="Arial" w:cs="Arial"/>
        </w:rPr>
        <w:t>, CAFSA, brazo financiero de Grupo Purdy, lanz</w:t>
      </w:r>
      <w:r w:rsidR="004C2331">
        <w:rPr>
          <w:rFonts w:ascii="Arial" w:hAnsi="Arial" w:cs="Arial"/>
        </w:rPr>
        <w:t>ó</w:t>
      </w:r>
      <w:r w:rsidR="00017E0E" w:rsidRPr="00666E9B">
        <w:rPr>
          <w:rFonts w:ascii="Arial" w:hAnsi="Arial" w:cs="Arial"/>
        </w:rPr>
        <w:t xml:space="preserve"> una línea de crédito especial para las personas que deseen adquirir un vehículo </w:t>
      </w:r>
      <w:r w:rsidR="00693FB4">
        <w:rPr>
          <w:rFonts w:ascii="Arial" w:hAnsi="Arial" w:cs="Arial"/>
        </w:rPr>
        <w:t>sostenible</w:t>
      </w:r>
      <w:r w:rsidR="00693FB4" w:rsidRPr="00666E9B">
        <w:rPr>
          <w:rFonts w:ascii="Arial" w:hAnsi="Arial" w:cs="Arial"/>
        </w:rPr>
        <w:t xml:space="preserve"> </w:t>
      </w:r>
      <w:r w:rsidR="00017E0E" w:rsidRPr="00666E9B">
        <w:rPr>
          <w:rFonts w:ascii="Arial" w:hAnsi="Arial" w:cs="Arial"/>
        </w:rPr>
        <w:t xml:space="preserve">del mismo grupo empresarial. </w:t>
      </w:r>
    </w:p>
    <w:p w14:paraId="549955A8" w14:textId="2A74983F" w:rsidR="006005B4" w:rsidRPr="00666E9B" w:rsidRDefault="006005B4" w:rsidP="00666E9B">
      <w:pPr>
        <w:jc w:val="both"/>
        <w:rPr>
          <w:rFonts w:ascii="Arial" w:hAnsi="Arial" w:cs="Arial"/>
        </w:rPr>
      </w:pPr>
      <w:r w:rsidRPr="00666E9B">
        <w:rPr>
          <w:rFonts w:ascii="Arial" w:hAnsi="Arial" w:cs="Arial"/>
        </w:rPr>
        <w:t>El grupo financiero obtuvo los recursos a partir de los fondos verdes del Banco Centroamericano de Integración Económica</w:t>
      </w:r>
      <w:r w:rsidR="00B62C7B">
        <w:rPr>
          <w:rFonts w:ascii="Arial" w:hAnsi="Arial" w:cs="Arial"/>
        </w:rPr>
        <w:t xml:space="preserve"> (BCIE)</w:t>
      </w:r>
      <w:r w:rsidRPr="00666E9B">
        <w:rPr>
          <w:rFonts w:ascii="Arial" w:hAnsi="Arial" w:cs="Arial"/>
        </w:rPr>
        <w:t>,</w:t>
      </w:r>
      <w:r w:rsidR="00693FB4">
        <w:rPr>
          <w:rFonts w:ascii="Arial" w:hAnsi="Arial" w:cs="Arial"/>
        </w:rPr>
        <w:t xml:space="preserve"> los cuales han tenido su acreditación a diferentes entidades globales y vienen a brindar apoyo a </w:t>
      </w:r>
      <w:r w:rsidR="00693FB4">
        <w:rPr>
          <w:rFonts w:ascii="Arial" w:hAnsi="Arial" w:cs="Arial"/>
          <w:color w:val="2B2B2B"/>
          <w:shd w:val="clear" w:color="auto" w:fill="FFFFFF"/>
        </w:rPr>
        <w:t>la región para enfrentar los efectos del cambio climático</w:t>
      </w:r>
      <w:r w:rsidR="00A50EAF">
        <w:rPr>
          <w:rFonts w:ascii="Arial" w:hAnsi="Arial" w:cs="Arial"/>
          <w:color w:val="2B2B2B"/>
          <w:shd w:val="clear" w:color="auto" w:fill="FFFFFF"/>
        </w:rPr>
        <w:t>. Para el caso de Costa Rica y puntualmente, mediante CAFSA, el financiamiento</w:t>
      </w:r>
      <w:r w:rsidR="00A50EAF">
        <w:rPr>
          <w:rFonts w:ascii="Arial" w:hAnsi="Arial" w:cs="Arial"/>
        </w:rPr>
        <w:t xml:space="preserve"> </w:t>
      </w:r>
      <w:r w:rsidRPr="00666E9B">
        <w:rPr>
          <w:rFonts w:ascii="Arial" w:hAnsi="Arial" w:cs="Arial"/>
        </w:rPr>
        <w:t xml:space="preserve">ofrece condiciones </w:t>
      </w:r>
      <w:r w:rsidR="00A50EAF">
        <w:rPr>
          <w:rFonts w:ascii="Arial" w:hAnsi="Arial" w:cs="Arial"/>
        </w:rPr>
        <w:t xml:space="preserve">muy </w:t>
      </w:r>
      <w:r w:rsidRPr="00666E9B">
        <w:rPr>
          <w:rFonts w:ascii="Arial" w:hAnsi="Arial" w:cs="Arial"/>
        </w:rPr>
        <w:t xml:space="preserve">favorables a los clientes como una tasa fija de 6,95% durante todo el plazo. </w:t>
      </w:r>
    </w:p>
    <w:p w14:paraId="61F9825A" w14:textId="55E662B5" w:rsidR="006005B4" w:rsidRDefault="005A5FDB" w:rsidP="00666E9B">
      <w:pPr>
        <w:jc w:val="both"/>
        <w:rPr>
          <w:rFonts w:ascii="Arial" w:hAnsi="Arial" w:cs="Arial"/>
        </w:rPr>
      </w:pPr>
      <w:r w:rsidRPr="005A5FDB">
        <w:rPr>
          <w:rFonts w:ascii="Arial" w:hAnsi="Arial" w:cs="Arial"/>
          <w:noProof/>
          <w:color w:val="000000"/>
          <w:lang w:val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CB21AC" wp14:editId="6B56AEBC">
                <wp:simplePos x="0" y="0"/>
                <wp:positionH relativeFrom="column">
                  <wp:posOffset>3625215</wp:posOffset>
                </wp:positionH>
                <wp:positionV relativeFrom="paragraph">
                  <wp:posOffset>42545</wp:posOffset>
                </wp:positionV>
                <wp:extent cx="2025015" cy="1466850"/>
                <wp:effectExtent l="0" t="0" r="1333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3003A" w14:textId="2D1E0ED8" w:rsidR="005A5FDB" w:rsidRDefault="005A5FDB" w:rsidP="005A5F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54CB">
                              <w:rPr>
                                <w:b/>
                                <w:bCs/>
                              </w:rPr>
                              <w:t>Crédito para vehículos sostenibles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 CAFSA</w:t>
                            </w:r>
                          </w:p>
                          <w:p w14:paraId="48DDFFB1" w14:textId="01BB9774" w:rsidR="005A5FDB" w:rsidRPr="005A5FDB" w:rsidRDefault="005A5FDB" w:rsidP="005A5FD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 w:rsidRPr="005A5FDB">
                              <w:t>Tasa fija de 6,95%</w:t>
                            </w:r>
                          </w:p>
                          <w:p w14:paraId="14ADF976" w14:textId="5AA3BEE0" w:rsidR="005A5FDB" w:rsidRPr="005A5FDB" w:rsidRDefault="005A5FDB" w:rsidP="005A5FD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 w:rsidRPr="005A5FDB">
                              <w:t>Plazo: 96 meses</w:t>
                            </w:r>
                          </w:p>
                          <w:p w14:paraId="56DE6F57" w14:textId="288DA8A4" w:rsidR="005A5FDB" w:rsidRPr="005A5FDB" w:rsidRDefault="005A5FDB" w:rsidP="00C954C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 w:rsidRPr="005A5FDB">
                              <w:t>Proceso ágil y 100% automatizado</w:t>
                            </w:r>
                          </w:p>
                          <w:p w14:paraId="4AC7A08E" w14:textId="77777777" w:rsidR="005A5FDB" w:rsidRPr="00C954CB" w:rsidRDefault="005A5FDB" w:rsidP="00C954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B21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.45pt;margin-top:3.35pt;width:159.4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" strokecolor="#c00000">
                <v:textbox>
                  <w:txbxContent>
                    <w:p w14:paraId="3263003A" w14:textId="2D1E0ED8" w:rsidR="005A5FDB" w:rsidRDefault="005A5FDB" w:rsidP="005A5FD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54CB">
                        <w:rPr>
                          <w:b/>
                          <w:bCs/>
                        </w:rPr>
                        <w:t>Crédito para vehículos sostenibles</w:t>
                      </w:r>
                      <w:r>
                        <w:rPr>
                          <w:b/>
                          <w:bCs/>
                        </w:rPr>
                        <w:t xml:space="preserve"> de CAFSA</w:t>
                      </w:r>
                    </w:p>
                    <w:p w14:paraId="48DDFFB1" w14:textId="01BB9774" w:rsidR="005A5FDB" w:rsidRPr="005A5FDB" w:rsidRDefault="005A5FDB" w:rsidP="005A5FDB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 w:rsidRPr="005A5FDB">
                        <w:t>Tasa fija de 6,95%</w:t>
                      </w:r>
                    </w:p>
                    <w:p w14:paraId="14ADF976" w14:textId="5AA3BEE0" w:rsidR="005A5FDB" w:rsidRPr="005A5FDB" w:rsidRDefault="005A5FDB" w:rsidP="005A5FDB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 w:rsidRPr="005A5FDB">
                        <w:t>Plazo: 96 meses</w:t>
                      </w:r>
                    </w:p>
                    <w:p w14:paraId="56DE6F57" w14:textId="288DA8A4" w:rsidR="005A5FDB" w:rsidRPr="005A5FDB" w:rsidRDefault="005A5FDB" w:rsidP="00C954CB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 w:rsidRPr="005A5FDB">
                        <w:t>Proceso ágil y 100% automatizado</w:t>
                      </w:r>
                    </w:p>
                    <w:p w14:paraId="4AC7A08E" w14:textId="77777777" w:rsidR="005A5FDB" w:rsidRPr="00C954CB" w:rsidRDefault="005A5FDB" w:rsidP="00C954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5B4" w:rsidRPr="00C954CB">
        <w:rPr>
          <w:rFonts w:ascii="Arial" w:hAnsi="Arial" w:cs="Arial"/>
          <w:i/>
          <w:iCs/>
        </w:rPr>
        <w:t>“CAFSA</w:t>
      </w:r>
      <w:r w:rsidR="00A50EAF">
        <w:rPr>
          <w:rFonts w:ascii="Arial" w:hAnsi="Arial" w:cs="Arial"/>
          <w:i/>
          <w:iCs/>
        </w:rPr>
        <w:t xml:space="preserve"> es el</w:t>
      </w:r>
      <w:r w:rsidR="006005B4" w:rsidRPr="00C954CB">
        <w:rPr>
          <w:rFonts w:ascii="Arial" w:hAnsi="Arial" w:cs="Arial"/>
          <w:i/>
          <w:iCs/>
        </w:rPr>
        <w:t xml:space="preserve"> brazo financiero de Grupo Purdy</w:t>
      </w:r>
      <w:r w:rsidR="00A50EAF">
        <w:rPr>
          <w:rFonts w:ascii="Arial" w:hAnsi="Arial" w:cs="Arial"/>
          <w:i/>
          <w:iCs/>
        </w:rPr>
        <w:t xml:space="preserve"> y por tanto compartimos la visión de facilitar </w:t>
      </w:r>
      <w:r w:rsidR="00F010A3">
        <w:rPr>
          <w:rFonts w:ascii="Arial" w:hAnsi="Arial" w:cs="Arial"/>
          <w:i/>
          <w:iCs/>
        </w:rPr>
        <w:t xml:space="preserve">y conectar </w:t>
      </w:r>
      <w:r w:rsidR="00A50EAF">
        <w:rPr>
          <w:rFonts w:ascii="Arial" w:hAnsi="Arial" w:cs="Arial"/>
          <w:i/>
          <w:iCs/>
        </w:rPr>
        <w:t xml:space="preserve">la vida de las personas a través de soluciones de movilidad confiables y sostenibles. Este es un esfuerzo que demuestra cómo desde el sector financiero también podemos </w:t>
      </w:r>
      <w:r w:rsidR="006005B4" w:rsidRPr="00C954CB">
        <w:rPr>
          <w:rFonts w:ascii="Arial" w:hAnsi="Arial" w:cs="Arial"/>
          <w:i/>
          <w:iCs/>
        </w:rPr>
        <w:t>aportar a la disminución de las emisiones de CO</w:t>
      </w:r>
      <w:r w:rsidR="006005B4" w:rsidRPr="00C954CB">
        <w:rPr>
          <w:rFonts w:ascii="Arial" w:hAnsi="Arial" w:cs="Arial"/>
          <w:i/>
          <w:iCs/>
          <w:vertAlign w:val="subscript"/>
        </w:rPr>
        <w:t>2</w:t>
      </w:r>
      <w:r w:rsidR="006005B4" w:rsidRPr="00C954CB">
        <w:rPr>
          <w:rFonts w:ascii="Arial" w:hAnsi="Arial" w:cs="Arial"/>
          <w:i/>
          <w:iCs/>
        </w:rPr>
        <w:t>.</w:t>
      </w:r>
      <w:r w:rsidR="00A50EAF">
        <w:rPr>
          <w:rFonts w:ascii="Arial" w:hAnsi="Arial" w:cs="Arial"/>
          <w:i/>
          <w:iCs/>
        </w:rPr>
        <w:t xml:space="preserve"> La nueva línea de crédito se ajusta a la</w:t>
      </w:r>
      <w:r w:rsidR="00431283">
        <w:rPr>
          <w:rFonts w:ascii="Arial" w:hAnsi="Arial" w:cs="Arial"/>
          <w:i/>
          <w:iCs/>
        </w:rPr>
        <w:t xml:space="preserve"> evolución de la industria de la movilidad y con ello volvemos más accesibles los productos de las distintas marcas del portafolio de Grupo Purdy.</w:t>
      </w:r>
      <w:r w:rsidR="006005B4" w:rsidRPr="00C954CB">
        <w:rPr>
          <w:rFonts w:ascii="Arial" w:hAnsi="Arial" w:cs="Arial"/>
          <w:i/>
          <w:iCs/>
        </w:rPr>
        <w:t>”</w:t>
      </w:r>
      <w:r w:rsidR="00B62C7B" w:rsidRPr="00C954CB">
        <w:rPr>
          <w:rFonts w:ascii="Arial" w:hAnsi="Arial" w:cs="Arial"/>
          <w:i/>
          <w:iCs/>
        </w:rPr>
        <w:t>,</w:t>
      </w:r>
      <w:r w:rsidR="006005B4" w:rsidRPr="00666E9B">
        <w:rPr>
          <w:rFonts w:ascii="Arial" w:hAnsi="Arial" w:cs="Arial"/>
        </w:rPr>
        <w:t xml:space="preserve"> </w:t>
      </w:r>
      <w:r w:rsidR="00A50EAF">
        <w:rPr>
          <w:rFonts w:ascii="Arial" w:hAnsi="Arial" w:cs="Arial"/>
        </w:rPr>
        <w:t>aseguró</w:t>
      </w:r>
      <w:r w:rsidR="00A50EAF" w:rsidRPr="00666E9B">
        <w:rPr>
          <w:rFonts w:ascii="Arial" w:hAnsi="Arial" w:cs="Arial"/>
        </w:rPr>
        <w:t xml:space="preserve"> </w:t>
      </w:r>
      <w:r w:rsidR="00666E9B" w:rsidRPr="00666E9B">
        <w:rPr>
          <w:rFonts w:ascii="Arial" w:hAnsi="Arial" w:cs="Arial"/>
        </w:rPr>
        <w:t>José Paulo Martínez, gerente de Innovación y Producto de CAFSA.</w:t>
      </w:r>
    </w:p>
    <w:p w14:paraId="7C40AA79" w14:textId="689C52A8" w:rsidR="006005B4" w:rsidRDefault="00431283" w:rsidP="001169D7">
      <w:pPr>
        <w:jc w:val="both"/>
        <w:rPr>
          <w:rFonts w:ascii="Arial" w:hAnsi="Arial" w:cs="Arial"/>
        </w:rPr>
      </w:pPr>
      <w:r w:rsidRPr="00C954CB">
        <w:rPr>
          <w:rFonts w:ascii="Arial" w:hAnsi="Arial" w:cs="Arial"/>
          <w:b/>
          <w:bCs/>
        </w:rPr>
        <w:t xml:space="preserve">¿Quiénes pueden solicitar crédito para vehículos sostenibles? </w:t>
      </w:r>
      <w:r w:rsidR="00234EAC" w:rsidRPr="00C954CB">
        <w:rPr>
          <w:rFonts w:ascii="Arial" w:hAnsi="Arial" w:cs="Arial"/>
        </w:rPr>
        <w:t>Tanto empresas como personas físicas pueden s</w:t>
      </w:r>
      <w:r w:rsidR="007B62B8" w:rsidRPr="00C954CB">
        <w:rPr>
          <w:rFonts w:ascii="Arial" w:hAnsi="Arial" w:cs="Arial"/>
        </w:rPr>
        <w:t xml:space="preserve">olicitar </w:t>
      </w:r>
      <w:r w:rsidRPr="00C954CB">
        <w:rPr>
          <w:rFonts w:ascii="Arial" w:hAnsi="Arial" w:cs="Arial"/>
        </w:rPr>
        <w:t>esta opción de financiamiento</w:t>
      </w:r>
      <w:r w:rsidR="00234EAC" w:rsidRPr="00C954CB">
        <w:rPr>
          <w:rFonts w:ascii="Arial" w:hAnsi="Arial" w:cs="Arial"/>
        </w:rPr>
        <w:t xml:space="preserve">, </w:t>
      </w:r>
      <w:r w:rsidR="00C954CB">
        <w:rPr>
          <w:rFonts w:ascii="Arial" w:hAnsi="Arial" w:cs="Arial"/>
        </w:rPr>
        <w:t>la</w:t>
      </w:r>
      <w:r w:rsidR="00234EAC" w:rsidRPr="00C954CB">
        <w:rPr>
          <w:rFonts w:ascii="Arial" w:hAnsi="Arial" w:cs="Arial"/>
        </w:rPr>
        <w:t xml:space="preserve"> cual únicamente requiere que el solicitante cuente con un ingreso</w:t>
      </w:r>
      <w:r>
        <w:rPr>
          <w:rFonts w:ascii="Arial" w:hAnsi="Arial" w:cs="Arial"/>
        </w:rPr>
        <w:t xml:space="preserve"> para ser sujeto de análisis</w:t>
      </w:r>
      <w:r w:rsidR="00234E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B62B8">
        <w:rPr>
          <w:rFonts w:ascii="Arial" w:hAnsi="Arial" w:cs="Arial"/>
        </w:rPr>
        <w:t>Una de las ventajas</w:t>
      </w:r>
      <w:r>
        <w:rPr>
          <w:rFonts w:ascii="Arial" w:hAnsi="Arial" w:cs="Arial"/>
        </w:rPr>
        <w:t xml:space="preserve"> del proceso</w:t>
      </w:r>
      <w:r w:rsidR="007B62B8">
        <w:rPr>
          <w:rFonts w:ascii="Arial" w:hAnsi="Arial" w:cs="Arial"/>
        </w:rPr>
        <w:t xml:space="preserve"> es que </w:t>
      </w:r>
      <w:r w:rsidR="00234EAC">
        <w:rPr>
          <w:rFonts w:ascii="Arial" w:hAnsi="Arial" w:cs="Arial"/>
        </w:rPr>
        <w:t xml:space="preserve">la </w:t>
      </w:r>
      <w:r w:rsidR="007B62B8">
        <w:rPr>
          <w:rFonts w:ascii="Arial" w:hAnsi="Arial" w:cs="Arial"/>
        </w:rPr>
        <w:t xml:space="preserve">aprobación es muy ágil, </w:t>
      </w:r>
      <w:r>
        <w:rPr>
          <w:rFonts w:ascii="Arial" w:hAnsi="Arial" w:cs="Arial"/>
        </w:rPr>
        <w:t>en poco tiempo y</w:t>
      </w:r>
      <w:r w:rsidR="007B62B8">
        <w:rPr>
          <w:rFonts w:ascii="Arial" w:hAnsi="Arial" w:cs="Arial"/>
        </w:rPr>
        <w:t>100% automatizad</w:t>
      </w:r>
      <w:r>
        <w:rPr>
          <w:rFonts w:ascii="Arial" w:hAnsi="Arial" w:cs="Arial"/>
        </w:rPr>
        <w:t>a</w:t>
      </w:r>
      <w:r w:rsidR="007B62B8">
        <w:rPr>
          <w:rFonts w:ascii="Arial" w:hAnsi="Arial" w:cs="Arial"/>
        </w:rPr>
        <w:t xml:space="preserve">. </w:t>
      </w:r>
    </w:p>
    <w:p w14:paraId="6C7DCA32" w14:textId="501BDC1C" w:rsidR="001169D7" w:rsidRDefault="001169D7" w:rsidP="00116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través de estos créditos la</w:t>
      </w:r>
      <w:r w:rsidR="00431283">
        <w:rPr>
          <w:rFonts w:ascii="Arial" w:hAnsi="Arial" w:cs="Arial"/>
        </w:rPr>
        <w:t xml:space="preserve"> entidad</w:t>
      </w:r>
      <w:r>
        <w:rPr>
          <w:rFonts w:ascii="Arial" w:hAnsi="Arial" w:cs="Arial"/>
        </w:rPr>
        <w:t xml:space="preserve"> espera aumentar su participación en el mercado del financiamiento de vehículos </w:t>
      </w:r>
      <w:r w:rsidR="00431283">
        <w:rPr>
          <w:rFonts w:ascii="Arial" w:hAnsi="Arial" w:cs="Arial"/>
        </w:rPr>
        <w:t xml:space="preserve">sostenibles </w:t>
      </w:r>
      <w:r w:rsidR="00E747D6">
        <w:rPr>
          <w:rFonts w:ascii="Arial" w:hAnsi="Arial" w:cs="Arial"/>
        </w:rPr>
        <w:t xml:space="preserve">de Grupo Purdy. Actualmente, CAFSA cuenta con el 19% de los créditos otorgados, sin embargo, tiene la meta de </w:t>
      </w:r>
      <w:r w:rsidR="00DF759B">
        <w:rPr>
          <w:rFonts w:ascii="Arial" w:hAnsi="Arial" w:cs="Arial"/>
        </w:rPr>
        <w:t xml:space="preserve">alcanzar </w:t>
      </w:r>
      <w:r w:rsidR="00E747D6">
        <w:rPr>
          <w:rFonts w:ascii="Arial" w:hAnsi="Arial" w:cs="Arial"/>
        </w:rPr>
        <w:t xml:space="preserve">el 35% del financiamiento </w:t>
      </w:r>
      <w:r w:rsidR="00DF759B">
        <w:rPr>
          <w:rFonts w:ascii="Arial" w:hAnsi="Arial" w:cs="Arial"/>
        </w:rPr>
        <w:t>acreditado.</w:t>
      </w:r>
      <w:r w:rsidR="00E747D6">
        <w:rPr>
          <w:rFonts w:ascii="Arial" w:hAnsi="Arial" w:cs="Arial"/>
        </w:rPr>
        <w:t xml:space="preserve"> </w:t>
      </w:r>
    </w:p>
    <w:p w14:paraId="2333D39D" w14:textId="63180873" w:rsidR="009E10A4" w:rsidRDefault="006127ED" w:rsidP="004757BB">
      <w:pPr>
        <w:jc w:val="both"/>
        <w:rPr>
          <w:rFonts w:ascii="Arial" w:hAnsi="Arial" w:cs="Arial"/>
          <w:i/>
          <w:iCs/>
        </w:rPr>
      </w:pPr>
      <w:r w:rsidRPr="00C954CB">
        <w:rPr>
          <w:rFonts w:ascii="Arial" w:hAnsi="Arial" w:cs="Arial"/>
          <w:i/>
          <w:iCs/>
        </w:rPr>
        <w:t>“Costa Rica es el país más avanzando de Centroamérica en términos de desempeño y ambición climátic</w:t>
      </w:r>
      <w:r>
        <w:rPr>
          <w:rFonts w:ascii="Arial" w:hAnsi="Arial" w:cs="Arial"/>
          <w:i/>
          <w:iCs/>
        </w:rPr>
        <w:t xml:space="preserve">a; estamos convencidos que el cúmulo de acciones son las que hacen la </w:t>
      </w:r>
      <w:r>
        <w:rPr>
          <w:rFonts w:ascii="Arial" w:hAnsi="Arial" w:cs="Arial"/>
          <w:i/>
          <w:iCs/>
        </w:rPr>
        <w:lastRenderedPageBreak/>
        <w:t>diferencia</w:t>
      </w:r>
      <w:r w:rsidR="009E10A4">
        <w:rPr>
          <w:rFonts w:ascii="Arial" w:hAnsi="Arial" w:cs="Arial"/>
          <w:i/>
          <w:iCs/>
        </w:rPr>
        <w:t xml:space="preserve"> y que con la incorporación de más vehículos </w:t>
      </w:r>
      <w:r w:rsidR="00F010A3">
        <w:rPr>
          <w:rFonts w:ascii="Arial" w:hAnsi="Arial" w:cs="Arial"/>
          <w:i/>
          <w:iCs/>
        </w:rPr>
        <w:t xml:space="preserve">de tecnologías sostenibles </w:t>
      </w:r>
      <w:r w:rsidR="005A5FDB">
        <w:rPr>
          <w:rFonts w:ascii="Arial" w:hAnsi="Arial" w:cs="Arial"/>
          <w:i/>
          <w:iCs/>
        </w:rPr>
        <w:t>al portafolio de marcas de Grupo Purdy, fortaleceremos nuestro aporte a la estrategia de descarbonización</w:t>
      </w:r>
      <w:r>
        <w:rPr>
          <w:rFonts w:ascii="Arial" w:hAnsi="Arial" w:cs="Arial"/>
          <w:i/>
          <w:iCs/>
        </w:rPr>
        <w:t>. En materia de sostenibilidad seguir</w:t>
      </w:r>
      <w:r w:rsidR="005A5FDB">
        <w:rPr>
          <w:rFonts w:ascii="Arial" w:hAnsi="Arial" w:cs="Arial"/>
          <w:i/>
          <w:iCs/>
        </w:rPr>
        <w:t>emos</w:t>
      </w:r>
      <w:r>
        <w:rPr>
          <w:rFonts w:ascii="Arial" w:hAnsi="Arial" w:cs="Arial"/>
          <w:i/>
          <w:iCs/>
        </w:rPr>
        <w:t xml:space="preserve"> generando cadenas de valor en beneficio del ambiente, por ejemplo, la posibilidad para </w:t>
      </w:r>
      <w:r w:rsidR="009E10A4">
        <w:rPr>
          <w:rFonts w:ascii="Arial" w:hAnsi="Arial" w:cs="Arial"/>
          <w:i/>
          <w:iCs/>
        </w:rPr>
        <w:t xml:space="preserve">que </w:t>
      </w:r>
      <w:r>
        <w:rPr>
          <w:rFonts w:ascii="Arial" w:hAnsi="Arial" w:cs="Arial"/>
          <w:i/>
          <w:iCs/>
        </w:rPr>
        <w:t>pequeñas y medianas empresas puedan optar por una forma más sostenible de movilizar sus operaciones</w:t>
      </w:r>
      <w:r w:rsidR="005A5FDB">
        <w:rPr>
          <w:rFonts w:ascii="Arial" w:hAnsi="Arial" w:cs="Arial"/>
          <w:i/>
          <w:iCs/>
        </w:rPr>
        <w:t>”, agregó Martínez.</w:t>
      </w:r>
    </w:p>
    <w:p w14:paraId="53678915" w14:textId="1340127D" w:rsidR="003F571C" w:rsidRDefault="003F571C" w:rsidP="004757BB">
      <w:pPr>
        <w:jc w:val="both"/>
        <w:rPr>
          <w:rFonts w:ascii="Arial" w:hAnsi="Arial" w:cs="Arial"/>
        </w:rPr>
      </w:pPr>
      <w:r w:rsidRPr="00C954CB">
        <w:rPr>
          <w:rFonts w:ascii="Arial" w:hAnsi="Arial" w:cs="Arial"/>
          <w:color w:val="000000"/>
          <w:lang w:val="es-ES_tradnl"/>
        </w:rPr>
        <w:t xml:space="preserve">Si desea obtener más información sobre esta nueva línea de crédito puede </w:t>
      </w:r>
      <w:r w:rsidR="005A5FDB">
        <w:rPr>
          <w:rFonts w:ascii="Arial" w:hAnsi="Arial" w:cs="Arial"/>
          <w:color w:val="000000"/>
          <w:lang w:val="es-ES_tradnl"/>
        </w:rPr>
        <w:t>contactarse al 2547-5500, o bien, en www.cafsa.fi.cr.</w:t>
      </w:r>
      <w:r w:rsidRPr="0082676A">
        <w:rPr>
          <w:rFonts w:ascii="Arial" w:hAnsi="Arial" w:cs="Arial"/>
          <w:color w:val="000000"/>
          <w:lang w:val="es-ES_tradnl"/>
        </w:rPr>
        <w:t xml:space="preserve"> </w:t>
      </w:r>
    </w:p>
    <w:p w14:paraId="2D86954C" w14:textId="77777777" w:rsidR="004757BB" w:rsidRPr="001169D7" w:rsidRDefault="004757BB" w:rsidP="001169D7">
      <w:pPr>
        <w:jc w:val="both"/>
        <w:rPr>
          <w:rFonts w:ascii="Arial" w:hAnsi="Arial" w:cs="Arial"/>
        </w:rPr>
      </w:pPr>
    </w:p>
    <w:sectPr w:rsidR="004757BB" w:rsidRPr="001169D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E575" w14:textId="77777777" w:rsidR="00693E9B" w:rsidRDefault="00693E9B" w:rsidP="00666E9B">
      <w:pPr>
        <w:spacing w:after="0" w:line="240" w:lineRule="auto"/>
      </w:pPr>
      <w:r>
        <w:separator/>
      </w:r>
    </w:p>
  </w:endnote>
  <w:endnote w:type="continuationSeparator" w:id="0">
    <w:p w14:paraId="18F3E812" w14:textId="77777777" w:rsidR="00693E9B" w:rsidRDefault="00693E9B" w:rsidP="0066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EC00" w14:textId="77777777" w:rsidR="00693E9B" w:rsidRDefault="00693E9B" w:rsidP="00666E9B">
      <w:pPr>
        <w:spacing w:after="0" w:line="240" w:lineRule="auto"/>
      </w:pPr>
      <w:r>
        <w:separator/>
      </w:r>
    </w:p>
  </w:footnote>
  <w:footnote w:type="continuationSeparator" w:id="0">
    <w:p w14:paraId="14A299C9" w14:textId="77777777" w:rsidR="00693E9B" w:rsidRDefault="00693E9B" w:rsidP="0066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C65B" w14:textId="02433057" w:rsidR="00666E9B" w:rsidRDefault="00666E9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EA3A18" wp14:editId="5D96D152">
          <wp:simplePos x="0" y="0"/>
          <wp:positionH relativeFrom="column">
            <wp:posOffset>-1073785</wp:posOffset>
          </wp:positionH>
          <wp:positionV relativeFrom="paragraph">
            <wp:posOffset>-436880</wp:posOffset>
          </wp:positionV>
          <wp:extent cx="7340600" cy="144399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BAB"/>
    <w:multiLevelType w:val="hybridMultilevel"/>
    <w:tmpl w:val="140200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553DE"/>
    <w:multiLevelType w:val="hybridMultilevel"/>
    <w:tmpl w:val="83FE11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7271C"/>
    <w:multiLevelType w:val="hybridMultilevel"/>
    <w:tmpl w:val="3008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B68D8"/>
    <w:multiLevelType w:val="hybridMultilevel"/>
    <w:tmpl w:val="012A2698"/>
    <w:lvl w:ilvl="0" w:tplc="1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0E"/>
    <w:rsid w:val="00017E0E"/>
    <w:rsid w:val="0010491E"/>
    <w:rsid w:val="001169D7"/>
    <w:rsid w:val="00234EAC"/>
    <w:rsid w:val="003242D0"/>
    <w:rsid w:val="00376A2D"/>
    <w:rsid w:val="003B36C9"/>
    <w:rsid w:val="003C71B9"/>
    <w:rsid w:val="003F571C"/>
    <w:rsid w:val="004233C0"/>
    <w:rsid w:val="00431283"/>
    <w:rsid w:val="004757BB"/>
    <w:rsid w:val="004C2331"/>
    <w:rsid w:val="004E4FCB"/>
    <w:rsid w:val="005A5FDB"/>
    <w:rsid w:val="006005B4"/>
    <w:rsid w:val="006127ED"/>
    <w:rsid w:val="006471BE"/>
    <w:rsid w:val="00666E9B"/>
    <w:rsid w:val="00693E9B"/>
    <w:rsid w:val="00693FB4"/>
    <w:rsid w:val="007B62B8"/>
    <w:rsid w:val="009E10A4"/>
    <w:rsid w:val="00A50EAF"/>
    <w:rsid w:val="00B31920"/>
    <w:rsid w:val="00B62C7B"/>
    <w:rsid w:val="00B816C4"/>
    <w:rsid w:val="00C954CB"/>
    <w:rsid w:val="00D14CE0"/>
    <w:rsid w:val="00DF759B"/>
    <w:rsid w:val="00E432C0"/>
    <w:rsid w:val="00E747D6"/>
    <w:rsid w:val="00F010A3"/>
    <w:rsid w:val="00F6310F"/>
    <w:rsid w:val="00F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F2E59"/>
  <w15:chartTrackingRefBased/>
  <w15:docId w15:val="{6AB8C77A-F461-48AC-A1BB-14B098E0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E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E9B"/>
  </w:style>
  <w:style w:type="paragraph" w:styleId="Piedepgina">
    <w:name w:val="footer"/>
    <w:basedOn w:val="Normal"/>
    <w:link w:val="PiedepginaCar"/>
    <w:uiPriority w:val="99"/>
    <w:unhideWhenUsed/>
    <w:rsid w:val="0066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E9B"/>
  </w:style>
  <w:style w:type="character" w:styleId="Refdecomentario">
    <w:name w:val="annotation reference"/>
    <w:basedOn w:val="Fuentedeprrafopredeter"/>
    <w:uiPriority w:val="99"/>
    <w:semiHidden/>
    <w:unhideWhenUsed/>
    <w:rsid w:val="00431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12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1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12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128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5F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5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Sibaja</dc:creator>
  <cp:keywords/>
  <dc:description/>
  <cp:lastModifiedBy>Verónica Sibaja</cp:lastModifiedBy>
  <cp:revision>6</cp:revision>
  <dcterms:created xsi:type="dcterms:W3CDTF">2021-10-22T19:56:00Z</dcterms:created>
  <dcterms:modified xsi:type="dcterms:W3CDTF">2021-10-27T14:38:00Z</dcterms:modified>
</cp:coreProperties>
</file>